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CFF5" w14:textId="77777777" w:rsidR="00126CFF" w:rsidRDefault="008A6338">
      <w:r>
        <w:rPr>
          <w:noProof/>
        </w:rPr>
        <w:drawing>
          <wp:anchor distT="0" distB="0" distL="0" distR="0" simplePos="0" relativeHeight="2" behindDoc="1" locked="0" layoutInCell="0" allowOverlap="1" wp14:anchorId="655CB9A3" wp14:editId="200D3A12">
            <wp:simplePos x="0" y="0"/>
            <wp:positionH relativeFrom="column">
              <wp:posOffset>4017263</wp:posOffset>
            </wp:positionH>
            <wp:positionV relativeFrom="paragraph">
              <wp:posOffset>-153838</wp:posOffset>
            </wp:positionV>
            <wp:extent cx="1708210" cy="1708210"/>
            <wp:effectExtent l="0" t="0" r="6350"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5"/>
                    <a:stretch>
                      <a:fillRect/>
                    </a:stretch>
                  </pic:blipFill>
                  <pic:spPr bwMode="auto">
                    <a:xfrm>
                      <a:off x="0" y="0"/>
                      <a:ext cx="1714227" cy="1714227"/>
                    </a:xfrm>
                    <a:prstGeom prst="rect">
                      <a:avLst/>
                    </a:prstGeom>
                  </pic:spPr>
                </pic:pic>
              </a:graphicData>
            </a:graphic>
            <wp14:sizeRelH relativeFrom="margin">
              <wp14:pctWidth>0</wp14:pctWidth>
            </wp14:sizeRelH>
            <wp14:sizeRelV relativeFrom="margin">
              <wp14:pctHeight>0</wp14:pctHeight>
            </wp14:sizeRelV>
          </wp:anchor>
        </w:drawing>
      </w:r>
      <w:r>
        <w:rPr>
          <w:rFonts w:cs="Calibri"/>
          <w:b/>
          <w:bCs/>
          <w:color w:val="70AD47"/>
          <w:sz w:val="36"/>
          <w:szCs w:val="36"/>
          <w:u w:val="single"/>
        </w:rPr>
        <w:t>KÁCENÍ DŘEVIN ROSTOUCÍCH MIMO LES</w:t>
      </w:r>
    </w:p>
    <w:p w14:paraId="25089B62" w14:textId="77777777" w:rsidR="00126CFF" w:rsidRDefault="008A6338">
      <w:pPr>
        <w:rPr>
          <w:rFonts w:cs="Calibri"/>
          <w:b/>
          <w:bCs/>
          <w:sz w:val="24"/>
          <w:szCs w:val="24"/>
        </w:rPr>
      </w:pPr>
      <w:r>
        <w:rPr>
          <w:rFonts w:cs="Calibri"/>
          <w:b/>
          <w:bCs/>
          <w:sz w:val="24"/>
          <w:szCs w:val="24"/>
        </w:rPr>
        <w:t xml:space="preserve">Právní předpisy: </w:t>
      </w:r>
    </w:p>
    <w:p w14:paraId="563DCCFA" w14:textId="77777777" w:rsidR="00126CFF" w:rsidRDefault="008A6338">
      <w:pPr>
        <w:spacing w:after="0"/>
      </w:pPr>
      <w:r>
        <w:rPr>
          <w:rFonts w:cs="Calibri"/>
          <w:b/>
          <w:bCs/>
          <w:color w:val="70AD47"/>
        </w:rPr>
        <w:t>Zákon č. 114/1992 Sb.</w:t>
      </w:r>
      <w:r>
        <w:rPr>
          <w:rFonts w:cs="Calibri"/>
          <w:color w:val="70AD47"/>
        </w:rPr>
        <w:t xml:space="preserve"> </w:t>
      </w:r>
      <w:r>
        <w:rPr>
          <w:rFonts w:cs="Calibri"/>
        </w:rPr>
        <w:t>o ochraně přírody a krajiny</w:t>
      </w:r>
    </w:p>
    <w:p w14:paraId="1BED6C83" w14:textId="77777777" w:rsidR="00126CFF" w:rsidRDefault="008A6338">
      <w:pPr>
        <w:spacing w:after="0"/>
      </w:pPr>
      <w:r>
        <w:rPr>
          <w:rFonts w:cs="Calibri"/>
          <w:b/>
          <w:bCs/>
          <w:color w:val="70AD47"/>
        </w:rPr>
        <w:t>Vyhláška č. 189/2013 Sb.</w:t>
      </w:r>
      <w:r>
        <w:rPr>
          <w:rFonts w:cs="Calibri"/>
          <w:color w:val="70AD47"/>
        </w:rPr>
        <w:t xml:space="preserve"> </w:t>
      </w:r>
      <w:r>
        <w:rPr>
          <w:rFonts w:cs="Calibri"/>
        </w:rPr>
        <w:t>o ochraně dřevin a povolování jejich kácení</w:t>
      </w:r>
    </w:p>
    <w:p w14:paraId="7E68A152" w14:textId="77777777" w:rsidR="00126CFF" w:rsidRDefault="00126CFF">
      <w:pPr>
        <w:spacing w:after="0"/>
        <w:rPr>
          <w:rFonts w:cs="Calibri"/>
        </w:rPr>
      </w:pPr>
    </w:p>
    <w:p w14:paraId="055E3D9C" w14:textId="77777777" w:rsidR="008A6338" w:rsidRDefault="008A6338">
      <w:pPr>
        <w:spacing w:after="0"/>
        <w:rPr>
          <w:rFonts w:cs="Calibri"/>
        </w:rPr>
      </w:pPr>
    </w:p>
    <w:p w14:paraId="0DB09838" w14:textId="77777777" w:rsidR="008A6338" w:rsidRDefault="008A6338">
      <w:pPr>
        <w:spacing w:after="0"/>
        <w:rPr>
          <w:rFonts w:cs="Calibri"/>
        </w:rPr>
      </w:pPr>
    </w:p>
    <w:p w14:paraId="0F01CECA" w14:textId="77777777" w:rsidR="00126CFF" w:rsidRDefault="008A6338">
      <w:pPr>
        <w:shd w:val="clear" w:color="auto" w:fill="C5E0B3"/>
        <w:spacing w:after="100" w:line="240" w:lineRule="auto"/>
      </w:pPr>
      <w:r>
        <w:rPr>
          <w:rFonts w:eastAsia="Times New Roman" w:cs="Calibri"/>
          <w:b/>
          <w:bCs/>
          <w:color w:val="000000"/>
          <w:kern w:val="0"/>
          <w:sz w:val="24"/>
          <w:szCs w:val="24"/>
          <w:u w:val="single"/>
          <w:lang w:eastAsia="cs-CZ"/>
        </w:rPr>
        <w:t xml:space="preserve">1.   Kácení bez povolení </w:t>
      </w:r>
      <w:r>
        <w:rPr>
          <w:rFonts w:eastAsia="Times New Roman" w:cs="Calibri"/>
          <w:color w:val="000000"/>
          <w:kern w:val="0"/>
          <w:sz w:val="24"/>
          <w:szCs w:val="24"/>
          <w:lang w:eastAsia="cs-CZ"/>
        </w:rPr>
        <w:t xml:space="preserve">(§ 8 odst. 3 zákona 114/1992 Sb., § 3 </w:t>
      </w:r>
      <w:proofErr w:type="spellStart"/>
      <w:r>
        <w:rPr>
          <w:rFonts w:eastAsia="Times New Roman" w:cs="Calibri"/>
          <w:color w:val="000000"/>
          <w:kern w:val="0"/>
          <w:sz w:val="24"/>
          <w:szCs w:val="24"/>
          <w:lang w:eastAsia="cs-CZ"/>
        </w:rPr>
        <w:t>vyhl</w:t>
      </w:r>
      <w:proofErr w:type="spellEnd"/>
      <w:r>
        <w:rPr>
          <w:rFonts w:eastAsia="Times New Roman" w:cs="Calibri"/>
          <w:color w:val="000000"/>
          <w:kern w:val="0"/>
          <w:sz w:val="24"/>
          <w:szCs w:val="24"/>
          <w:lang w:eastAsia="cs-CZ"/>
        </w:rPr>
        <w:t>. 189/2013 Sb.)</w:t>
      </w:r>
    </w:p>
    <w:p w14:paraId="5366C292" w14:textId="5B572A47" w:rsidR="00126CFF" w:rsidRDefault="008A6338">
      <w:pPr>
        <w:shd w:val="clear" w:color="auto" w:fill="FFFFFF"/>
        <w:spacing w:after="100" w:line="240" w:lineRule="auto"/>
        <w:jc w:val="both"/>
      </w:pPr>
      <w:r>
        <w:rPr>
          <w:rFonts w:eastAsia="Times New Roman" w:cs="Calibri"/>
          <w:color w:val="000000"/>
          <w:kern w:val="0"/>
          <w:sz w:val="24"/>
          <w:szCs w:val="24"/>
          <w:lang w:eastAsia="cs-CZ"/>
        </w:rPr>
        <w:t>Povolení ke kácení dřevin, za předpokladu, že tyto nejsou součástí významného krajinného prvku nebo stromořadí, se nevyžaduje:</w:t>
      </w:r>
    </w:p>
    <w:p w14:paraId="284334CE" w14:textId="77777777" w:rsidR="00126CFF" w:rsidRDefault="008A6338">
      <w:pPr>
        <w:numPr>
          <w:ilvl w:val="0"/>
          <w:numId w:val="1"/>
        </w:numPr>
        <w:shd w:val="clear" w:color="auto" w:fill="FFFFFF"/>
        <w:spacing w:before="100" w:after="100" w:line="240" w:lineRule="auto"/>
        <w:rPr>
          <w:rFonts w:eastAsia="Times New Roman" w:cs="Calibri"/>
          <w:color w:val="212529"/>
          <w:kern w:val="0"/>
          <w:sz w:val="24"/>
          <w:szCs w:val="24"/>
          <w:lang w:eastAsia="cs-CZ"/>
        </w:rPr>
      </w:pPr>
      <w:r>
        <w:rPr>
          <w:rFonts w:eastAsia="Times New Roman" w:cs="Calibri"/>
          <w:color w:val="212529"/>
          <w:kern w:val="0"/>
          <w:sz w:val="24"/>
          <w:szCs w:val="24"/>
          <w:lang w:eastAsia="cs-CZ"/>
        </w:rPr>
        <w:t>pro dřeviny o obvodu kmene do 80 cm měřeného ve výšce 130 cm nad zemí,</w:t>
      </w:r>
    </w:p>
    <w:p w14:paraId="354D8D8A" w14:textId="0BC719BA" w:rsidR="00126CFF" w:rsidRDefault="008A6338">
      <w:pPr>
        <w:numPr>
          <w:ilvl w:val="0"/>
          <w:numId w:val="1"/>
        </w:numPr>
        <w:shd w:val="clear" w:color="auto" w:fill="FFFFFF"/>
        <w:spacing w:before="100" w:after="100" w:line="240" w:lineRule="auto"/>
      </w:pPr>
      <w:r>
        <w:rPr>
          <w:rFonts w:eastAsia="Times New Roman" w:cs="Calibri"/>
          <w:color w:val="000000"/>
          <w:kern w:val="0"/>
          <w:sz w:val="24"/>
          <w:szCs w:val="24"/>
          <w:lang w:eastAsia="cs-CZ"/>
        </w:rPr>
        <w:t>pro zapojené porosty dřevin, pokud celková plocha kácených zapojených porostů dřevin nepřesahuje 40 m</w:t>
      </w:r>
      <w:r>
        <w:rPr>
          <w:rFonts w:eastAsia="Times New Roman" w:cs="Calibri"/>
          <w:color w:val="000000"/>
          <w:kern w:val="0"/>
          <w:position w:val="5"/>
          <w:sz w:val="18"/>
          <w:szCs w:val="18"/>
          <w:lang w:eastAsia="cs-CZ"/>
        </w:rPr>
        <w:t>2</w:t>
      </w:r>
    </w:p>
    <w:p w14:paraId="7B3BC4A4" w14:textId="7032BAB3" w:rsidR="00126CFF" w:rsidRDefault="008A6338">
      <w:pPr>
        <w:numPr>
          <w:ilvl w:val="0"/>
          <w:numId w:val="1"/>
        </w:numPr>
        <w:shd w:val="clear" w:color="auto" w:fill="FFFFFF"/>
        <w:spacing w:before="100" w:after="100" w:line="240" w:lineRule="auto"/>
      </w:pPr>
      <w:r>
        <w:rPr>
          <w:rFonts w:eastAsia="Times New Roman" w:cs="Calibri"/>
          <w:color w:val="000000"/>
          <w:kern w:val="0"/>
          <w:sz w:val="24"/>
          <w:szCs w:val="24"/>
          <w:lang w:eastAsia="cs-CZ"/>
        </w:rPr>
        <w:t>pro dřeviny pěstované na pozemcích vedených v katastru nemovitostí ve způsobu využití jako plantáž dřevin</w:t>
      </w:r>
    </w:p>
    <w:p w14:paraId="3EF3BBCB" w14:textId="653165D4" w:rsidR="00126CFF" w:rsidRPr="008A6338" w:rsidRDefault="008A6338">
      <w:pPr>
        <w:numPr>
          <w:ilvl w:val="0"/>
          <w:numId w:val="1"/>
        </w:numPr>
        <w:shd w:val="clear" w:color="auto" w:fill="FFFFFF"/>
        <w:spacing w:before="100" w:after="100" w:line="240" w:lineRule="auto"/>
      </w:pPr>
      <w:r>
        <w:rPr>
          <w:rFonts w:eastAsia="Times New Roman" w:cs="Calibri"/>
          <w:color w:val="000000"/>
          <w:kern w:val="0"/>
          <w:sz w:val="24"/>
          <w:szCs w:val="24"/>
          <w:lang w:eastAsia="cs-CZ"/>
        </w:rPr>
        <w:t>pro ovocné dřeviny rostoucí na pozemcích v zastavěném území evidovaných v katastru nemovitostí jako druh pozemku zahrada, zastavěná plocha a nádvoří nebo ostatní plocha se způsobem využití pozemku zeleň</w:t>
      </w:r>
    </w:p>
    <w:p w14:paraId="1D04C71B" w14:textId="77777777" w:rsidR="008A6338" w:rsidRDefault="008A6338" w:rsidP="008A6338">
      <w:pPr>
        <w:shd w:val="clear" w:color="auto" w:fill="FFFFFF"/>
        <w:spacing w:before="100" w:after="100" w:line="240" w:lineRule="auto"/>
        <w:ind w:left="720"/>
      </w:pPr>
    </w:p>
    <w:p w14:paraId="27782A19" w14:textId="77777777" w:rsidR="00126CFF" w:rsidRDefault="00126CFF">
      <w:pPr>
        <w:shd w:val="clear" w:color="auto" w:fill="FFFFFF"/>
        <w:spacing w:before="100" w:after="100" w:line="240" w:lineRule="auto"/>
        <w:ind w:left="720"/>
      </w:pPr>
    </w:p>
    <w:p w14:paraId="47F3C245" w14:textId="77777777" w:rsidR="00126CFF" w:rsidRDefault="008A6338">
      <w:pPr>
        <w:shd w:val="clear" w:color="auto" w:fill="C5E0B3"/>
        <w:tabs>
          <w:tab w:val="right" w:pos="9072"/>
        </w:tabs>
        <w:spacing w:after="100" w:line="240" w:lineRule="auto"/>
      </w:pPr>
      <w:r>
        <w:rPr>
          <w:rFonts w:eastAsia="Times New Roman" w:cs="Calibri"/>
          <w:b/>
          <w:bCs/>
          <w:color w:val="000000"/>
          <w:kern w:val="0"/>
          <w:sz w:val="24"/>
          <w:szCs w:val="24"/>
          <w:u w:val="single"/>
          <w:lang w:eastAsia="cs-CZ"/>
        </w:rPr>
        <w:t>2.   Kácení ohlašované zpětně</w:t>
      </w:r>
      <w:r>
        <w:rPr>
          <w:rFonts w:eastAsia="Times New Roman" w:cs="Calibri"/>
          <w:b/>
          <w:bCs/>
          <w:color w:val="000000"/>
          <w:kern w:val="0"/>
          <w:sz w:val="24"/>
          <w:szCs w:val="24"/>
          <w:lang w:eastAsia="cs-CZ"/>
        </w:rPr>
        <w:t xml:space="preserve"> </w:t>
      </w:r>
      <w:r>
        <w:rPr>
          <w:rFonts w:eastAsia="Times New Roman" w:cs="Calibri"/>
          <w:color w:val="000000"/>
          <w:kern w:val="0"/>
          <w:sz w:val="24"/>
          <w:szCs w:val="24"/>
          <w:lang w:eastAsia="cs-CZ"/>
        </w:rPr>
        <w:t>- z bezpečnostních důvodů</w:t>
      </w:r>
      <w:r>
        <w:rPr>
          <w:rFonts w:eastAsia="Times New Roman" w:cs="Calibri"/>
          <w:b/>
          <w:bCs/>
          <w:color w:val="000000"/>
          <w:kern w:val="0"/>
          <w:sz w:val="24"/>
          <w:szCs w:val="24"/>
          <w:lang w:eastAsia="cs-CZ"/>
        </w:rPr>
        <w:t xml:space="preserve"> </w:t>
      </w:r>
      <w:r>
        <w:rPr>
          <w:rFonts w:eastAsia="Times New Roman" w:cs="Calibri"/>
          <w:color w:val="000000"/>
          <w:kern w:val="0"/>
          <w:sz w:val="24"/>
          <w:szCs w:val="24"/>
          <w:lang w:eastAsia="cs-CZ"/>
        </w:rPr>
        <w:t>(§ 8 odst. 4 zákona 114/1992 Sb.) </w:t>
      </w:r>
      <w:r>
        <w:rPr>
          <w:rFonts w:eastAsia="Times New Roman" w:cs="Calibri"/>
          <w:color w:val="000000"/>
          <w:kern w:val="0"/>
          <w:sz w:val="24"/>
          <w:szCs w:val="24"/>
          <w:lang w:eastAsia="cs-CZ"/>
        </w:rPr>
        <w:tab/>
      </w:r>
    </w:p>
    <w:p w14:paraId="6D70ABF4" w14:textId="77777777" w:rsidR="00126CFF" w:rsidRDefault="008A6338">
      <w:pPr>
        <w:shd w:val="clear" w:color="auto" w:fill="FFFFFF"/>
        <w:spacing w:after="100" w:line="240" w:lineRule="auto"/>
        <w:jc w:val="both"/>
        <w:rPr>
          <w:rFonts w:eastAsia="Times New Roman" w:cs="Calibri"/>
          <w:color w:val="000000"/>
          <w:kern w:val="0"/>
          <w:sz w:val="24"/>
          <w:szCs w:val="24"/>
          <w:lang w:eastAsia="cs-CZ"/>
        </w:rPr>
      </w:pPr>
      <w:r>
        <w:rPr>
          <w:rFonts w:eastAsia="Times New Roman" w:cs="Calibri"/>
          <w:color w:val="000000"/>
          <w:kern w:val="0"/>
          <w:sz w:val="24"/>
          <w:szCs w:val="24"/>
          <w:lang w:eastAsia="cs-CZ"/>
        </w:rPr>
        <w:t>Povolení není třeba ke kácení dřevin, je-li jejich stavem zřejmě a bezprostředně ohrožen život či zdraví nebo hrozí-li škoda značného rozsahu. Ten, kdo za těchto podmínek provede kácení, oznámí je orgánu ochrany přírody do 15 dnů od provedení kácení. Nelze tak připustit preventivní kácení zdravých dřevin, které by mohly působit škodu pádem při extrémním počasí.</w:t>
      </w:r>
    </w:p>
    <w:p w14:paraId="16819625" w14:textId="77777777" w:rsidR="00126CFF" w:rsidRDefault="00126CFF">
      <w:pPr>
        <w:shd w:val="clear" w:color="auto" w:fill="FFFFFF"/>
        <w:spacing w:after="100" w:line="240" w:lineRule="auto"/>
        <w:jc w:val="both"/>
      </w:pPr>
    </w:p>
    <w:p w14:paraId="0469CF81" w14:textId="77777777" w:rsidR="00126CFF" w:rsidRDefault="008A6338">
      <w:pPr>
        <w:shd w:val="clear" w:color="auto" w:fill="C5E0B3"/>
        <w:spacing w:after="100" w:line="240" w:lineRule="auto"/>
      </w:pPr>
      <w:r>
        <w:rPr>
          <w:rFonts w:eastAsia="Times New Roman" w:cs="Calibri"/>
          <w:b/>
          <w:bCs/>
          <w:color w:val="000000"/>
          <w:kern w:val="0"/>
          <w:sz w:val="24"/>
          <w:szCs w:val="24"/>
          <w:u w:val="single"/>
          <w:lang w:eastAsia="cs-CZ"/>
        </w:rPr>
        <w:t>3.   Kácení ohlašované 15 dní předem</w:t>
      </w:r>
      <w:r>
        <w:rPr>
          <w:rFonts w:eastAsia="Times New Roman" w:cs="Calibri"/>
          <w:b/>
          <w:bCs/>
          <w:color w:val="000000"/>
          <w:kern w:val="0"/>
          <w:sz w:val="24"/>
          <w:szCs w:val="24"/>
          <w:lang w:eastAsia="cs-CZ"/>
        </w:rPr>
        <w:t xml:space="preserve"> </w:t>
      </w:r>
      <w:r>
        <w:rPr>
          <w:rFonts w:eastAsia="Times New Roman" w:cs="Calibri"/>
          <w:color w:val="000000"/>
          <w:kern w:val="0"/>
          <w:sz w:val="24"/>
          <w:szCs w:val="24"/>
          <w:lang w:eastAsia="cs-CZ"/>
        </w:rPr>
        <w:t>(§ 8 odst. 2 zákona 114/1992 Sb.)</w:t>
      </w:r>
    </w:p>
    <w:p w14:paraId="6A4A34F8" w14:textId="77777777" w:rsidR="00126CFF" w:rsidRDefault="008A6338">
      <w:pPr>
        <w:shd w:val="clear" w:color="auto" w:fill="FFFFFF"/>
        <w:spacing w:after="100" w:line="240" w:lineRule="auto"/>
      </w:pPr>
      <w:r>
        <w:rPr>
          <w:rFonts w:eastAsia="Times New Roman" w:cs="Calibri"/>
          <w:b/>
          <w:bCs/>
          <w:color w:val="000000"/>
          <w:kern w:val="0"/>
          <w:sz w:val="24"/>
          <w:szCs w:val="24"/>
          <w:lang w:eastAsia="cs-CZ"/>
        </w:rPr>
        <w:t>  Je možné u dřevin z těchto pevně stanovených důvodů:</w:t>
      </w:r>
    </w:p>
    <w:p w14:paraId="3BDEF545" w14:textId="331C5926" w:rsidR="00126CFF" w:rsidRDefault="008A6338">
      <w:pPr>
        <w:numPr>
          <w:ilvl w:val="0"/>
          <w:numId w:val="2"/>
        </w:numPr>
        <w:shd w:val="clear" w:color="auto" w:fill="FFFFFF"/>
        <w:spacing w:before="100" w:after="100" w:line="240" w:lineRule="auto"/>
        <w:rPr>
          <w:rFonts w:eastAsia="Times New Roman" w:cs="Calibri"/>
          <w:color w:val="212529"/>
          <w:kern w:val="0"/>
          <w:sz w:val="24"/>
          <w:szCs w:val="24"/>
          <w:lang w:eastAsia="cs-CZ"/>
        </w:rPr>
      </w:pPr>
      <w:r>
        <w:rPr>
          <w:rFonts w:eastAsia="Times New Roman" w:cs="Calibri"/>
          <w:color w:val="212529"/>
          <w:kern w:val="0"/>
          <w:sz w:val="24"/>
          <w:szCs w:val="24"/>
          <w:lang w:eastAsia="cs-CZ"/>
        </w:rPr>
        <w:t>pěstebních, to je za účelem obnovy porostů</w:t>
      </w:r>
    </w:p>
    <w:p w14:paraId="73743679" w14:textId="6194C631" w:rsidR="00126CFF" w:rsidRDefault="008A6338">
      <w:pPr>
        <w:numPr>
          <w:ilvl w:val="0"/>
          <w:numId w:val="2"/>
        </w:numPr>
        <w:shd w:val="clear" w:color="auto" w:fill="FFFFFF"/>
        <w:spacing w:before="100" w:after="100" w:line="240" w:lineRule="auto"/>
      </w:pPr>
      <w:r>
        <w:rPr>
          <w:rFonts w:eastAsia="Times New Roman" w:cs="Calibri"/>
          <w:color w:val="000000"/>
          <w:kern w:val="0"/>
          <w:sz w:val="24"/>
          <w:szCs w:val="24"/>
          <w:lang w:eastAsia="cs-CZ"/>
        </w:rPr>
        <w:t>při provádění výchovné probírky porostů</w:t>
      </w:r>
    </w:p>
    <w:p w14:paraId="4C5ABB10" w14:textId="23843944" w:rsidR="00126CFF" w:rsidRDefault="008A6338">
      <w:pPr>
        <w:numPr>
          <w:ilvl w:val="0"/>
          <w:numId w:val="2"/>
        </w:numPr>
        <w:shd w:val="clear" w:color="auto" w:fill="FFFFFF"/>
        <w:spacing w:before="100" w:after="100" w:line="240" w:lineRule="auto"/>
      </w:pPr>
      <w:r>
        <w:rPr>
          <w:rFonts w:eastAsia="Times New Roman" w:cs="Calibri"/>
          <w:color w:val="000000"/>
          <w:kern w:val="0"/>
          <w:sz w:val="24"/>
          <w:szCs w:val="24"/>
          <w:lang w:eastAsia="cs-CZ"/>
        </w:rPr>
        <w:t>zdravotních</w:t>
      </w:r>
    </w:p>
    <w:p w14:paraId="4FC73F6F" w14:textId="2295BC06" w:rsidR="00126CFF" w:rsidRDefault="008A6338">
      <w:pPr>
        <w:numPr>
          <w:ilvl w:val="0"/>
          <w:numId w:val="2"/>
        </w:numPr>
        <w:shd w:val="clear" w:color="auto" w:fill="FFFFFF"/>
        <w:spacing w:before="100" w:after="100" w:line="240" w:lineRule="auto"/>
      </w:pPr>
      <w:r>
        <w:rPr>
          <w:rFonts w:eastAsia="Times New Roman" w:cs="Calibri"/>
          <w:color w:val="000000"/>
          <w:kern w:val="0"/>
          <w:sz w:val="24"/>
          <w:szCs w:val="24"/>
          <w:lang w:eastAsia="cs-CZ"/>
        </w:rPr>
        <w:t>při údržbě břehových porostů prováděné při správě vodních toků</w:t>
      </w:r>
    </w:p>
    <w:p w14:paraId="29D9715F" w14:textId="655AEF3F" w:rsidR="00126CFF" w:rsidRDefault="008A6338">
      <w:pPr>
        <w:numPr>
          <w:ilvl w:val="0"/>
          <w:numId w:val="2"/>
        </w:numPr>
        <w:shd w:val="clear" w:color="auto" w:fill="FFFFFF"/>
        <w:spacing w:before="100" w:after="100" w:line="240" w:lineRule="auto"/>
      </w:pPr>
      <w:r>
        <w:rPr>
          <w:rFonts w:eastAsia="Times New Roman" w:cs="Calibri"/>
          <w:color w:val="000000"/>
          <w:kern w:val="0"/>
          <w:sz w:val="24"/>
          <w:szCs w:val="24"/>
          <w:lang w:eastAsia="cs-CZ"/>
        </w:rPr>
        <w:t>odstraňování dřevin v ochranném pásmu zařízení elektrizační a plynárenské soustavy prováděném při provozování těchto soustav</w:t>
      </w:r>
    </w:p>
    <w:p w14:paraId="15DF2082" w14:textId="77777777" w:rsidR="00126CFF" w:rsidRDefault="008A6338">
      <w:pPr>
        <w:shd w:val="clear" w:color="auto" w:fill="FFFFFF"/>
        <w:spacing w:after="100" w:line="240" w:lineRule="auto"/>
        <w:jc w:val="both"/>
        <w:rPr>
          <w:rFonts w:eastAsia="Times New Roman" w:cs="Calibri"/>
          <w:color w:val="000000"/>
          <w:kern w:val="0"/>
          <w:sz w:val="24"/>
          <w:szCs w:val="24"/>
          <w:lang w:eastAsia="cs-CZ"/>
        </w:rPr>
      </w:pPr>
      <w:r>
        <w:rPr>
          <w:rFonts w:eastAsia="Times New Roman" w:cs="Calibri"/>
          <w:color w:val="000000"/>
          <w:kern w:val="0"/>
          <w:sz w:val="24"/>
          <w:szCs w:val="24"/>
          <w:lang w:eastAsia="cs-CZ"/>
        </w:rPr>
        <w:t>Kácení z těchto důvodů musí být oznámeno písemně nejméně 15 dnů předem orgánu ochrany přírody, který je může pozastavit, omezit nebo zakázat, pokud odporuje požadavkům na ochranu dřevin.</w:t>
      </w:r>
    </w:p>
    <w:p w14:paraId="6E0C36F7" w14:textId="77777777" w:rsidR="008A6338" w:rsidRDefault="008A6338">
      <w:pPr>
        <w:shd w:val="clear" w:color="auto" w:fill="FFFFFF"/>
        <w:spacing w:after="100" w:line="240" w:lineRule="auto"/>
        <w:jc w:val="both"/>
        <w:rPr>
          <w:rFonts w:eastAsia="Times New Roman" w:cs="Calibri"/>
          <w:color w:val="000000"/>
          <w:kern w:val="0"/>
          <w:sz w:val="24"/>
          <w:szCs w:val="24"/>
          <w:lang w:eastAsia="cs-CZ"/>
        </w:rPr>
      </w:pPr>
    </w:p>
    <w:p w14:paraId="2BEECA48" w14:textId="77777777" w:rsidR="00126CFF" w:rsidRDefault="00126CFF">
      <w:pPr>
        <w:shd w:val="clear" w:color="auto" w:fill="FFFFFF"/>
        <w:spacing w:after="100" w:line="240" w:lineRule="auto"/>
        <w:jc w:val="both"/>
      </w:pPr>
    </w:p>
    <w:p w14:paraId="02D308B2" w14:textId="77777777" w:rsidR="00126CFF" w:rsidRDefault="008A6338">
      <w:pPr>
        <w:shd w:val="clear" w:color="auto" w:fill="C5E0B3"/>
        <w:spacing w:after="100" w:line="240" w:lineRule="auto"/>
      </w:pPr>
      <w:r>
        <w:rPr>
          <w:rFonts w:eastAsia="Times New Roman" w:cs="Calibri"/>
          <w:b/>
          <w:bCs/>
          <w:color w:val="000000"/>
          <w:kern w:val="0"/>
          <w:sz w:val="24"/>
          <w:szCs w:val="24"/>
          <w:u w:val="single"/>
          <w:lang w:eastAsia="cs-CZ"/>
        </w:rPr>
        <w:lastRenderedPageBreak/>
        <w:t>4.   Kácení, pro které je nutno vydat povolení</w:t>
      </w:r>
      <w:r>
        <w:rPr>
          <w:rFonts w:eastAsia="Times New Roman" w:cs="Calibri"/>
          <w:b/>
          <w:bCs/>
          <w:color w:val="000000"/>
          <w:kern w:val="0"/>
          <w:sz w:val="24"/>
          <w:szCs w:val="24"/>
          <w:lang w:eastAsia="cs-CZ"/>
        </w:rPr>
        <w:t xml:space="preserve"> </w:t>
      </w:r>
      <w:r>
        <w:rPr>
          <w:rFonts w:eastAsia="Times New Roman" w:cs="Calibri"/>
          <w:color w:val="000000"/>
          <w:kern w:val="0"/>
          <w:sz w:val="24"/>
          <w:szCs w:val="24"/>
          <w:lang w:eastAsia="cs-CZ"/>
        </w:rPr>
        <w:t>(§ 8 odst. 1 zákona 114/1992 Sb.)  </w:t>
      </w:r>
    </w:p>
    <w:p w14:paraId="750154A6" w14:textId="41F813CB" w:rsidR="00126CFF" w:rsidRDefault="008A6338">
      <w:pPr>
        <w:shd w:val="clear" w:color="auto" w:fill="FFFFFF"/>
        <w:spacing w:after="100" w:line="240" w:lineRule="auto"/>
        <w:jc w:val="both"/>
      </w:pPr>
      <w:r>
        <w:rPr>
          <w:rFonts w:eastAsia="Times New Roman" w:cs="Calibri"/>
          <w:color w:val="000000"/>
          <w:kern w:val="0"/>
          <w:sz w:val="24"/>
          <w:szCs w:val="24"/>
          <w:lang w:eastAsia="cs-CZ"/>
        </w:rPr>
        <w:t>O povolení ke kácení žádá </w:t>
      </w:r>
      <w:hyperlink r:id="rId6" w:tgtFrame="_top">
        <w:r>
          <w:rPr>
            <w:rStyle w:val="Hypertextovodkaz"/>
            <w:rFonts w:eastAsia="Times New Roman" w:cs="Calibri"/>
            <w:color w:val="DC3545"/>
            <w:kern w:val="0"/>
            <w:sz w:val="24"/>
            <w:szCs w:val="24"/>
            <w:lang w:eastAsia="cs-CZ"/>
          </w:rPr>
          <w:t>(žádost zde)</w:t>
        </w:r>
      </w:hyperlink>
      <w:r>
        <w:rPr>
          <w:rFonts w:eastAsia="Times New Roman" w:cs="Calibri"/>
          <w:color w:val="000000"/>
          <w:kern w:val="0"/>
          <w:sz w:val="24"/>
          <w:szCs w:val="24"/>
          <w:lang w:eastAsia="cs-CZ"/>
        </w:rPr>
        <w:t> písemně vlastník pozemku (má-li pozemek více spoluvlastníků, musí být k žádosti připojen jejich souhlas se záměrem dřevinu pokácet) či nájemce nebo uživatel se souhlasem vlastníka pozemku, na kterém se strom nachází.</w:t>
      </w:r>
    </w:p>
    <w:p w14:paraId="4F196927" w14:textId="0C4FD955" w:rsidR="00126CFF" w:rsidRPr="00683521" w:rsidRDefault="008A6338">
      <w:pPr>
        <w:shd w:val="clear" w:color="auto" w:fill="FFFFFF"/>
        <w:spacing w:after="100" w:line="240" w:lineRule="auto"/>
        <w:jc w:val="both"/>
      </w:pPr>
      <w:r>
        <w:rPr>
          <w:rFonts w:eastAsia="Times New Roman" w:cs="Calibri"/>
          <w:b/>
          <w:bCs/>
          <w:color w:val="000000"/>
          <w:kern w:val="0"/>
          <w:sz w:val="24"/>
          <w:szCs w:val="24"/>
          <w:lang w:eastAsia="cs-CZ"/>
        </w:rPr>
        <w:t>Žádost musí obsahovat:</w:t>
      </w:r>
      <w:r w:rsidR="00683521">
        <w:rPr>
          <w:rFonts w:eastAsia="Times New Roman" w:cs="Calibri"/>
          <w:b/>
          <w:bCs/>
          <w:color w:val="000000"/>
          <w:kern w:val="0"/>
          <w:sz w:val="24"/>
          <w:szCs w:val="24"/>
          <w:lang w:eastAsia="cs-CZ"/>
        </w:rPr>
        <w:t xml:space="preserve"> </w:t>
      </w:r>
      <w:r w:rsidR="00683521" w:rsidRPr="00683521">
        <w:rPr>
          <w:rFonts w:eastAsia="Times New Roman" w:cs="Calibri"/>
          <w:color w:val="000000"/>
          <w:kern w:val="0"/>
          <w:sz w:val="24"/>
          <w:szCs w:val="24"/>
          <w:lang w:eastAsia="cs-CZ"/>
        </w:rPr>
        <w:t>(§ 4 vyhlášky 189/2013 Sb.)</w:t>
      </w:r>
    </w:p>
    <w:p w14:paraId="1CE3EFE3" w14:textId="77777777" w:rsidR="00126CFF" w:rsidRDefault="008A6338">
      <w:pPr>
        <w:numPr>
          <w:ilvl w:val="0"/>
          <w:numId w:val="3"/>
        </w:numPr>
        <w:shd w:val="clear" w:color="auto" w:fill="FFFFFF"/>
        <w:spacing w:before="100" w:after="100" w:line="240" w:lineRule="auto"/>
        <w:rPr>
          <w:rFonts w:eastAsia="Times New Roman" w:cs="Calibri"/>
          <w:color w:val="212529"/>
          <w:kern w:val="0"/>
          <w:sz w:val="24"/>
          <w:szCs w:val="24"/>
          <w:lang w:eastAsia="cs-CZ"/>
        </w:rPr>
      </w:pPr>
      <w:r>
        <w:rPr>
          <w:rFonts w:eastAsia="Times New Roman" w:cs="Calibri"/>
          <w:color w:val="212529"/>
          <w:kern w:val="0"/>
          <w:sz w:val="24"/>
          <w:szCs w:val="24"/>
          <w:lang w:eastAsia="cs-CZ"/>
        </w:rPr>
        <w:t>jméno, příjmení, datum narození a místo trvalého pobytu žadatele</w:t>
      </w:r>
    </w:p>
    <w:p w14:paraId="6F768E76" w14:textId="77777777" w:rsidR="00126CFF" w:rsidRDefault="008A6338">
      <w:pPr>
        <w:numPr>
          <w:ilvl w:val="0"/>
          <w:numId w:val="3"/>
        </w:numPr>
        <w:shd w:val="clear" w:color="auto" w:fill="FFFFFF"/>
        <w:spacing w:before="100" w:after="100" w:line="240" w:lineRule="auto"/>
      </w:pPr>
      <w:r>
        <w:rPr>
          <w:rFonts w:eastAsia="Times New Roman" w:cs="Calibri"/>
          <w:color w:val="000000"/>
          <w:kern w:val="0"/>
          <w:sz w:val="24"/>
          <w:szCs w:val="24"/>
          <w:lang w:eastAsia="cs-CZ"/>
        </w:rPr>
        <w:t>u obchodních společností musí obsahovat název, IČO a sídlo společnosti</w:t>
      </w:r>
    </w:p>
    <w:p w14:paraId="32442B25" w14:textId="77777777" w:rsidR="00126CFF" w:rsidRDefault="008A6338">
      <w:pPr>
        <w:numPr>
          <w:ilvl w:val="0"/>
          <w:numId w:val="3"/>
        </w:numPr>
        <w:shd w:val="clear" w:color="auto" w:fill="FFFFFF"/>
        <w:spacing w:before="100" w:after="100" w:line="240" w:lineRule="auto"/>
      </w:pPr>
      <w:r>
        <w:rPr>
          <w:rFonts w:eastAsia="Times New Roman" w:cs="Calibri"/>
          <w:color w:val="000000"/>
          <w:kern w:val="0"/>
          <w:sz w:val="24"/>
          <w:szCs w:val="24"/>
          <w:lang w:eastAsia="cs-CZ"/>
        </w:rPr>
        <w:t>druh stromu</w:t>
      </w:r>
    </w:p>
    <w:p w14:paraId="7C380207" w14:textId="6C991F26" w:rsidR="00126CFF" w:rsidRDefault="008A6338">
      <w:pPr>
        <w:numPr>
          <w:ilvl w:val="0"/>
          <w:numId w:val="3"/>
        </w:numPr>
        <w:shd w:val="clear" w:color="auto" w:fill="FFFFFF"/>
        <w:spacing w:before="100" w:after="100" w:line="240" w:lineRule="auto"/>
      </w:pPr>
      <w:r>
        <w:rPr>
          <w:rFonts w:eastAsia="Times New Roman" w:cs="Calibri"/>
          <w:color w:val="000000"/>
          <w:kern w:val="0"/>
          <w:sz w:val="24"/>
          <w:szCs w:val="24"/>
          <w:lang w:eastAsia="cs-CZ"/>
        </w:rPr>
        <w:t>počet kusů/výměra dřevin ke kácení</w:t>
      </w:r>
    </w:p>
    <w:p w14:paraId="0BB2D3B6" w14:textId="494CD7C9" w:rsidR="00126CFF" w:rsidRDefault="008A6338">
      <w:pPr>
        <w:numPr>
          <w:ilvl w:val="0"/>
          <w:numId w:val="3"/>
        </w:numPr>
        <w:shd w:val="clear" w:color="auto" w:fill="FFFFFF"/>
        <w:spacing w:before="100" w:after="100" w:line="240" w:lineRule="auto"/>
      </w:pPr>
      <w:r>
        <w:rPr>
          <w:rFonts w:eastAsia="Times New Roman" w:cs="Calibri"/>
          <w:color w:val="000000"/>
          <w:kern w:val="0"/>
          <w:sz w:val="24"/>
          <w:szCs w:val="24"/>
          <w:lang w:eastAsia="cs-CZ"/>
        </w:rPr>
        <w:t>obvod kmene ve výšce 130 cm nad zemí</w:t>
      </w:r>
    </w:p>
    <w:p w14:paraId="6670A8AF" w14:textId="23FF11EA" w:rsidR="00126CFF" w:rsidRDefault="008A6338">
      <w:pPr>
        <w:numPr>
          <w:ilvl w:val="0"/>
          <w:numId w:val="3"/>
        </w:numPr>
        <w:shd w:val="clear" w:color="auto" w:fill="FFFFFF"/>
        <w:spacing w:before="100" w:after="100" w:line="240" w:lineRule="auto"/>
      </w:pPr>
      <w:r>
        <w:rPr>
          <w:rFonts w:eastAsia="Times New Roman" w:cs="Calibri"/>
          <w:color w:val="000000"/>
          <w:kern w:val="0"/>
          <w:sz w:val="24"/>
          <w:szCs w:val="24"/>
          <w:lang w:eastAsia="cs-CZ"/>
        </w:rPr>
        <w:t>číslo parcely, na které se předmětná dřevina nachází</w:t>
      </w:r>
    </w:p>
    <w:p w14:paraId="0B042AED" w14:textId="0B5EF3F6" w:rsidR="00126CFF" w:rsidRDefault="008A6338">
      <w:pPr>
        <w:numPr>
          <w:ilvl w:val="0"/>
          <w:numId w:val="3"/>
        </w:numPr>
        <w:shd w:val="clear" w:color="auto" w:fill="FFFFFF"/>
        <w:spacing w:before="100" w:after="100" w:line="240" w:lineRule="auto"/>
      </w:pPr>
      <w:r>
        <w:rPr>
          <w:rFonts w:eastAsia="Times New Roman" w:cs="Calibri"/>
          <w:color w:val="000000"/>
          <w:kern w:val="0"/>
          <w:sz w:val="24"/>
          <w:szCs w:val="24"/>
          <w:lang w:eastAsia="cs-CZ"/>
        </w:rPr>
        <w:t>mapa pozemku se zakreslením dřevin</w:t>
      </w:r>
    </w:p>
    <w:p w14:paraId="39EF8869" w14:textId="54C1CF73" w:rsidR="00126CFF" w:rsidRDefault="008A6338">
      <w:pPr>
        <w:numPr>
          <w:ilvl w:val="0"/>
          <w:numId w:val="3"/>
        </w:numPr>
        <w:shd w:val="clear" w:color="auto" w:fill="FFFFFF"/>
        <w:spacing w:before="100" w:after="100" w:line="240" w:lineRule="auto"/>
      </w:pPr>
      <w:r>
        <w:rPr>
          <w:rFonts w:eastAsia="Times New Roman" w:cs="Calibri"/>
          <w:color w:val="000000"/>
          <w:kern w:val="0"/>
          <w:sz w:val="24"/>
          <w:szCs w:val="24"/>
          <w:lang w:eastAsia="cs-CZ"/>
        </w:rPr>
        <w:t>důvod, pro který se žádá o povolení pokácení </w:t>
      </w:r>
    </w:p>
    <w:p w14:paraId="3550F478" w14:textId="77777777" w:rsidR="00126CFF" w:rsidRDefault="008A6338">
      <w:pPr>
        <w:shd w:val="clear" w:color="auto" w:fill="FFFFFF"/>
        <w:spacing w:after="100" w:line="240" w:lineRule="auto"/>
        <w:jc w:val="both"/>
      </w:pPr>
      <w:r>
        <w:rPr>
          <w:rFonts w:eastAsia="Times New Roman" w:cs="Calibri"/>
          <w:color w:val="000000"/>
          <w:kern w:val="0"/>
          <w:sz w:val="24"/>
          <w:szCs w:val="24"/>
          <w:lang w:eastAsia="cs-CZ"/>
        </w:rPr>
        <w:t>Povolení ke kácení na katastrálním území obce Přáslavice vydává Obecní úřad Obce Přáslavice a lze ho vydat ze závažných důvodů po vyhodnocení funkčního a estetického významu dřevin.</w:t>
      </w:r>
    </w:p>
    <w:p w14:paraId="7DBF6EA4" w14:textId="5050966D" w:rsidR="00126CFF" w:rsidRDefault="008A6338">
      <w:pPr>
        <w:shd w:val="clear" w:color="auto" w:fill="FFFFFF"/>
        <w:spacing w:after="100" w:line="240" w:lineRule="auto"/>
        <w:jc w:val="both"/>
        <w:rPr>
          <w:rFonts w:eastAsia="Times New Roman" w:cs="Calibri"/>
          <w:color w:val="000000"/>
          <w:kern w:val="0"/>
          <w:sz w:val="24"/>
          <w:szCs w:val="24"/>
          <w:lang w:eastAsia="cs-CZ"/>
        </w:rPr>
      </w:pPr>
      <w:r>
        <w:rPr>
          <w:rFonts w:eastAsia="Times New Roman" w:cs="Calibri"/>
          <w:color w:val="000000"/>
          <w:kern w:val="0"/>
          <w:sz w:val="24"/>
          <w:szCs w:val="24"/>
          <w:lang w:eastAsia="cs-CZ"/>
        </w:rPr>
        <w:t>Orgán ochrany přírody může (podle § 9 zákona</w:t>
      </w:r>
      <w:r w:rsidR="00683521">
        <w:rPr>
          <w:rFonts w:eastAsia="Times New Roman" w:cs="Calibri"/>
          <w:color w:val="000000"/>
          <w:kern w:val="0"/>
          <w:sz w:val="24"/>
          <w:szCs w:val="24"/>
          <w:lang w:eastAsia="cs-CZ"/>
        </w:rPr>
        <w:t xml:space="preserve"> 114/1992 Sb.</w:t>
      </w:r>
      <w:r>
        <w:rPr>
          <w:rFonts w:eastAsia="Times New Roman" w:cs="Calibri"/>
          <w:color w:val="000000"/>
          <w:kern w:val="0"/>
          <w:sz w:val="24"/>
          <w:szCs w:val="24"/>
          <w:lang w:eastAsia="cs-CZ"/>
        </w:rPr>
        <w:t>) ve svém rozhodnutí o povolení kácení dřevin uložit žadateli přiměřenou náhradní výsadbu ke kompenzaci ekologické újmy vzniklé pokácením dřevin. Současně může uložit následnou péči o dřeviny po nezbytně nutnou dobu, nejvýše však na dobu pěti let.  </w:t>
      </w:r>
    </w:p>
    <w:p w14:paraId="1DA126D1" w14:textId="77777777" w:rsidR="008A6338" w:rsidRDefault="008A6338">
      <w:pPr>
        <w:shd w:val="clear" w:color="auto" w:fill="FFFFFF"/>
        <w:spacing w:after="100" w:line="240" w:lineRule="auto"/>
        <w:jc w:val="both"/>
      </w:pPr>
    </w:p>
    <w:p w14:paraId="515EF54F" w14:textId="77777777" w:rsidR="00126CFF" w:rsidRDefault="008A6338">
      <w:pPr>
        <w:shd w:val="clear" w:color="auto" w:fill="FFFFFF"/>
        <w:spacing w:after="100" w:line="240" w:lineRule="auto"/>
        <w:jc w:val="both"/>
        <w:rPr>
          <w:rFonts w:eastAsia="Times New Roman" w:cs="Calibri"/>
          <w:color w:val="000000"/>
          <w:kern w:val="0"/>
          <w:sz w:val="24"/>
          <w:szCs w:val="24"/>
          <w:lang w:eastAsia="cs-CZ"/>
        </w:rPr>
      </w:pPr>
      <w:r>
        <w:rPr>
          <w:rFonts w:eastAsia="Times New Roman" w:cs="Calibri"/>
          <w:color w:val="000000"/>
          <w:kern w:val="0"/>
          <w:sz w:val="24"/>
          <w:szCs w:val="24"/>
          <w:lang w:eastAsia="cs-CZ"/>
        </w:rPr>
        <w:t>---------------------------------------------------------------------------------------------------------------------------</w:t>
      </w:r>
    </w:p>
    <w:p w14:paraId="42F5C9F7" w14:textId="77777777" w:rsidR="00126CFF" w:rsidRDefault="008A6338">
      <w:pPr>
        <w:shd w:val="clear" w:color="auto" w:fill="FFFFFF"/>
        <w:spacing w:after="100" w:line="240" w:lineRule="auto"/>
        <w:jc w:val="both"/>
        <w:rPr>
          <w:b/>
          <w:bCs/>
          <w:sz w:val="10"/>
          <w:szCs w:val="10"/>
        </w:rPr>
      </w:pPr>
      <w:r w:rsidRPr="008A6338">
        <w:rPr>
          <w:b/>
          <w:bCs/>
          <w:sz w:val="26"/>
          <w:szCs w:val="26"/>
        </w:rPr>
        <w:t>Důležité:</w:t>
      </w:r>
    </w:p>
    <w:p w14:paraId="1A7DFBCE" w14:textId="77777777" w:rsidR="008A6338" w:rsidRPr="008A6338" w:rsidRDefault="008A6338">
      <w:pPr>
        <w:shd w:val="clear" w:color="auto" w:fill="FFFFFF"/>
        <w:spacing w:after="100" w:line="240" w:lineRule="auto"/>
        <w:jc w:val="both"/>
        <w:rPr>
          <w:b/>
          <w:bCs/>
          <w:sz w:val="10"/>
          <w:szCs w:val="10"/>
        </w:rPr>
      </w:pPr>
    </w:p>
    <w:p w14:paraId="7C6B08A7" w14:textId="11218D3D" w:rsidR="00126CFF" w:rsidRDefault="008A6338" w:rsidP="00E524BC">
      <w:pPr>
        <w:pStyle w:val="Odstavecseseznamem"/>
        <w:numPr>
          <w:ilvl w:val="0"/>
          <w:numId w:val="4"/>
        </w:numPr>
        <w:shd w:val="clear" w:color="auto" w:fill="FFFFFF"/>
        <w:spacing w:after="100" w:line="240" w:lineRule="auto"/>
        <w:contextualSpacing w:val="0"/>
        <w:jc w:val="both"/>
      </w:pPr>
      <w:r>
        <w:rPr>
          <w:rFonts w:eastAsia="Times New Roman" w:cs="Calibri"/>
          <w:color w:val="000000"/>
          <w:kern w:val="0"/>
          <w:sz w:val="24"/>
          <w:szCs w:val="24"/>
          <w:lang w:eastAsia="cs-CZ"/>
        </w:rPr>
        <w:t>Účastníkem řízení o kácení dřevin je žadatel a dále jím mohou být místně příslušná občanská sdružení, jejichž posláním je ochrana přírody a krajiny.</w:t>
      </w:r>
    </w:p>
    <w:p w14:paraId="47303113" w14:textId="6A6B5372" w:rsidR="00126CFF" w:rsidRDefault="008A6338" w:rsidP="00E524BC">
      <w:pPr>
        <w:pStyle w:val="Odstavecseseznamem"/>
        <w:numPr>
          <w:ilvl w:val="0"/>
          <w:numId w:val="4"/>
        </w:numPr>
        <w:shd w:val="clear" w:color="auto" w:fill="FFFFFF"/>
        <w:spacing w:after="100" w:line="240" w:lineRule="auto"/>
        <w:contextualSpacing w:val="0"/>
      </w:pPr>
      <w:r>
        <w:rPr>
          <w:rFonts w:eastAsia="Times New Roman" w:cs="Calibri"/>
          <w:b/>
          <w:bCs/>
          <w:color w:val="000000"/>
          <w:kern w:val="0"/>
          <w:sz w:val="24"/>
          <w:szCs w:val="24"/>
          <w:lang w:eastAsia="cs-CZ"/>
        </w:rPr>
        <w:t>Kácení dřevin, pro které je vydáváno povolení, je možné provádět pouze v období vegetačního klidu, které trvá od 1. listopadu do 31. března!</w:t>
      </w:r>
    </w:p>
    <w:p w14:paraId="1ED788A9" w14:textId="77777777" w:rsidR="00126CFF" w:rsidRDefault="008A6338">
      <w:pPr>
        <w:pStyle w:val="Odstavecseseznamem"/>
        <w:numPr>
          <w:ilvl w:val="0"/>
          <w:numId w:val="4"/>
        </w:numPr>
        <w:shd w:val="clear" w:color="auto" w:fill="FFFFFF"/>
        <w:spacing w:after="100" w:line="240" w:lineRule="auto"/>
        <w:contextualSpacing w:val="0"/>
      </w:pPr>
      <w:r>
        <w:rPr>
          <w:rFonts w:eastAsia="Times New Roman" w:cs="Calibri"/>
          <w:color w:val="000000"/>
          <w:kern w:val="0"/>
          <w:sz w:val="24"/>
          <w:szCs w:val="24"/>
          <w:lang w:eastAsia="cs-CZ"/>
        </w:rPr>
        <w:t>Při kácení dřevin v lesích se postupuje podle zákona č. 289/1995 Sb., o lesích, v platném znění.</w:t>
      </w:r>
    </w:p>
    <w:p w14:paraId="4DA27E4E" w14:textId="77777777" w:rsidR="00126CFF" w:rsidRDefault="008A6338">
      <w:pPr>
        <w:numPr>
          <w:ilvl w:val="0"/>
          <w:numId w:val="4"/>
        </w:numPr>
        <w:shd w:val="clear" w:color="auto" w:fill="FFFFFF"/>
        <w:spacing w:before="100" w:after="100" w:line="240" w:lineRule="auto"/>
        <w:rPr>
          <w:rFonts w:eastAsia="Times New Roman" w:cs="Calibri"/>
          <w:color w:val="212529"/>
          <w:kern w:val="0"/>
          <w:sz w:val="24"/>
          <w:szCs w:val="24"/>
          <w:lang w:eastAsia="cs-CZ"/>
        </w:rPr>
      </w:pPr>
      <w:r>
        <w:rPr>
          <w:rFonts w:eastAsia="Times New Roman" w:cs="Calibri"/>
          <w:color w:val="212529"/>
          <w:kern w:val="0"/>
          <w:sz w:val="24"/>
          <w:szCs w:val="24"/>
          <w:lang w:eastAsia="cs-CZ"/>
        </w:rPr>
        <w:t>Bez povolení může vlastník strom ořezat, nikoliv ho však poškodit či zničit. Zásah nesmí způsobit snížení ekologických nebo společenských funkcí dřeviny nebo její následné odumření.</w:t>
      </w:r>
    </w:p>
    <w:p w14:paraId="6DD4580A" w14:textId="77777777" w:rsidR="00126CFF" w:rsidRDefault="008A6338">
      <w:pPr>
        <w:numPr>
          <w:ilvl w:val="0"/>
          <w:numId w:val="4"/>
        </w:numPr>
        <w:shd w:val="clear" w:color="auto" w:fill="FFFFFF"/>
        <w:spacing w:before="100" w:after="100" w:line="240" w:lineRule="auto"/>
      </w:pPr>
      <w:r>
        <w:rPr>
          <w:rFonts w:eastAsia="Times New Roman" w:cs="Calibri"/>
          <w:color w:val="000000"/>
          <w:kern w:val="0"/>
          <w:sz w:val="24"/>
          <w:szCs w:val="24"/>
          <w:lang w:eastAsia="cs-CZ"/>
        </w:rPr>
        <w:t>Rozhodnutí o povolení kácení dřevin není zpoplatněné.</w:t>
      </w:r>
    </w:p>
    <w:p w14:paraId="06427272" w14:textId="77777777" w:rsidR="00126CFF" w:rsidRDefault="008A6338">
      <w:pPr>
        <w:numPr>
          <w:ilvl w:val="0"/>
          <w:numId w:val="4"/>
        </w:numPr>
        <w:shd w:val="clear" w:color="auto" w:fill="FFFFFF"/>
        <w:spacing w:before="100" w:after="100" w:line="240" w:lineRule="auto"/>
      </w:pPr>
      <w:r>
        <w:rPr>
          <w:rFonts w:eastAsia="Times New Roman" w:cs="Calibri"/>
          <w:color w:val="000000"/>
          <w:kern w:val="0"/>
          <w:sz w:val="24"/>
          <w:szCs w:val="24"/>
          <w:lang w:eastAsia="cs-CZ"/>
        </w:rPr>
        <w:t>Nepovolené pokácení dřevin může být pokutováno!</w:t>
      </w:r>
    </w:p>
    <w:p w14:paraId="3E2D27CD" w14:textId="77777777" w:rsidR="00126CFF" w:rsidRDefault="00126CFF">
      <w:pPr>
        <w:spacing w:after="0"/>
        <w:rPr>
          <w:rFonts w:cs="Calibri"/>
        </w:rPr>
      </w:pPr>
    </w:p>
    <w:sectPr w:rsidR="00126CFF">
      <w:pgSz w:w="11906" w:h="16838"/>
      <w:pgMar w:top="1560" w:right="1417" w:bottom="1134" w:left="1417" w:header="0" w:footer="0" w:gutter="0"/>
      <w:cols w:space="708"/>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B7B2C"/>
    <w:multiLevelType w:val="multilevel"/>
    <w:tmpl w:val="38B6F63E"/>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1" w15:restartNumberingAfterBreak="0">
    <w:nsid w:val="3B2B2996"/>
    <w:multiLevelType w:val="multilevel"/>
    <w:tmpl w:val="153E5E44"/>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abstractNum w:abstractNumId="2" w15:restartNumberingAfterBreak="0">
    <w:nsid w:val="4BA545C9"/>
    <w:multiLevelType w:val="multilevel"/>
    <w:tmpl w:val="C994E1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80545B4"/>
    <w:multiLevelType w:val="multilevel"/>
    <w:tmpl w:val="BDF610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8CC7BDB"/>
    <w:multiLevelType w:val="multilevel"/>
    <w:tmpl w:val="9EB400CC"/>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sz w:val="20"/>
      </w:rPr>
    </w:lvl>
    <w:lvl w:ilvl="2">
      <w:start w:val="1"/>
      <w:numFmt w:val="bullet"/>
      <w:lvlText w:val=""/>
      <w:lvlJc w:val="left"/>
      <w:pPr>
        <w:tabs>
          <w:tab w:val="num" w:pos="0"/>
        </w:tabs>
        <w:ind w:left="2160" w:hanging="360"/>
      </w:pPr>
      <w:rPr>
        <w:rFonts w:ascii="Wingdings" w:hAnsi="Wingdings" w:cs="Wingdings" w:hint="default"/>
        <w:sz w:val="20"/>
      </w:rPr>
    </w:lvl>
    <w:lvl w:ilvl="3">
      <w:start w:val="1"/>
      <w:numFmt w:val="bullet"/>
      <w:lvlText w:val=""/>
      <w:lvlJc w:val="left"/>
      <w:pPr>
        <w:tabs>
          <w:tab w:val="num" w:pos="0"/>
        </w:tabs>
        <w:ind w:left="2880" w:hanging="360"/>
      </w:pPr>
      <w:rPr>
        <w:rFonts w:ascii="Wingdings" w:hAnsi="Wingdings" w:cs="Wingdings" w:hint="default"/>
        <w:sz w:val="20"/>
      </w:rPr>
    </w:lvl>
    <w:lvl w:ilvl="4">
      <w:start w:val="1"/>
      <w:numFmt w:val="bullet"/>
      <w:lvlText w:val=""/>
      <w:lvlJc w:val="left"/>
      <w:pPr>
        <w:tabs>
          <w:tab w:val="num" w:pos="0"/>
        </w:tabs>
        <w:ind w:left="3600" w:hanging="360"/>
      </w:pPr>
      <w:rPr>
        <w:rFonts w:ascii="Wingdings" w:hAnsi="Wingdings" w:cs="Wingdings" w:hint="default"/>
        <w:sz w:val="20"/>
      </w:rPr>
    </w:lvl>
    <w:lvl w:ilvl="5">
      <w:start w:val="1"/>
      <w:numFmt w:val="bullet"/>
      <w:lvlText w:val=""/>
      <w:lvlJc w:val="left"/>
      <w:pPr>
        <w:tabs>
          <w:tab w:val="num" w:pos="0"/>
        </w:tabs>
        <w:ind w:left="4320" w:hanging="360"/>
      </w:pPr>
      <w:rPr>
        <w:rFonts w:ascii="Wingdings" w:hAnsi="Wingdings" w:cs="Wingdings" w:hint="default"/>
        <w:sz w:val="20"/>
      </w:rPr>
    </w:lvl>
    <w:lvl w:ilvl="6">
      <w:start w:val="1"/>
      <w:numFmt w:val="bullet"/>
      <w:lvlText w:val=""/>
      <w:lvlJc w:val="left"/>
      <w:pPr>
        <w:tabs>
          <w:tab w:val="num" w:pos="0"/>
        </w:tabs>
        <w:ind w:left="5040" w:hanging="360"/>
      </w:pPr>
      <w:rPr>
        <w:rFonts w:ascii="Wingdings" w:hAnsi="Wingdings" w:cs="Wingdings" w:hint="default"/>
        <w:sz w:val="20"/>
      </w:rPr>
    </w:lvl>
    <w:lvl w:ilvl="7">
      <w:start w:val="1"/>
      <w:numFmt w:val="bullet"/>
      <w:lvlText w:val=""/>
      <w:lvlJc w:val="left"/>
      <w:pPr>
        <w:tabs>
          <w:tab w:val="num" w:pos="0"/>
        </w:tabs>
        <w:ind w:left="5760" w:hanging="360"/>
      </w:pPr>
      <w:rPr>
        <w:rFonts w:ascii="Wingdings" w:hAnsi="Wingdings" w:cs="Wingdings" w:hint="default"/>
        <w:sz w:val="20"/>
      </w:rPr>
    </w:lvl>
    <w:lvl w:ilvl="8">
      <w:start w:val="1"/>
      <w:numFmt w:val="bullet"/>
      <w:lvlText w:val=""/>
      <w:lvlJc w:val="left"/>
      <w:pPr>
        <w:tabs>
          <w:tab w:val="num" w:pos="0"/>
        </w:tabs>
        <w:ind w:left="6480" w:hanging="360"/>
      </w:pPr>
      <w:rPr>
        <w:rFonts w:ascii="Wingdings" w:hAnsi="Wingdings" w:cs="Wingdings" w:hint="default"/>
        <w:sz w:val="20"/>
      </w:rPr>
    </w:lvl>
  </w:abstractNum>
  <w:num w:numId="1" w16cid:durableId="493298830">
    <w:abstractNumId w:val="0"/>
  </w:num>
  <w:num w:numId="2" w16cid:durableId="157767548">
    <w:abstractNumId w:val="1"/>
  </w:num>
  <w:num w:numId="3" w16cid:durableId="1783190246">
    <w:abstractNumId w:val="4"/>
  </w:num>
  <w:num w:numId="4" w16cid:durableId="400828792">
    <w:abstractNumId w:val="2"/>
  </w:num>
  <w:num w:numId="5" w16cid:durableId="1322657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FF"/>
    <w:rsid w:val="00107174"/>
    <w:rsid w:val="00126CFF"/>
    <w:rsid w:val="00683521"/>
    <w:rsid w:val="006D1DA0"/>
    <w:rsid w:val="008A6338"/>
    <w:rsid w:val="00C220C1"/>
    <w:rsid w:val="00E52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D3EE"/>
  <w15:docId w15:val="{441221E4-1894-4F96-9461-85BB1FAA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sz w:val="22"/>
        <w:szCs w:val="22"/>
        <w:lang w:val="cs-CZ" w:eastAsia="en-US" w:bidi="ar-SA"/>
      </w:rPr>
    </w:rPrDefault>
    <w:pPrDefault>
      <w:pPr>
        <w:spacing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qFormat/>
    <w:rPr>
      <w:b/>
      <w:bCs/>
    </w:rPr>
  </w:style>
  <w:style w:type="character" w:styleId="Hypertextovodkaz">
    <w:name w:val="Hyperlink"/>
    <w:rPr>
      <w:color w:val="000080"/>
      <w:u w:val="single"/>
    </w:rPr>
  </w:style>
  <w:style w:type="character" w:customStyle="1" w:styleId="WWCharLFO1LVL1">
    <w:name w:val="WW_CharLFO1LVL1"/>
    <w:qFormat/>
    <w:rPr>
      <w:rFonts w:ascii="Symbol" w:hAnsi="Symbol"/>
      <w:sz w:val="20"/>
    </w:rPr>
  </w:style>
  <w:style w:type="character" w:customStyle="1" w:styleId="WWCharLFO1LVL2">
    <w:name w:val="WW_CharLFO1LVL2"/>
    <w:qFormat/>
    <w:rPr>
      <w:rFonts w:ascii="Courier New" w:hAnsi="Courier New"/>
      <w:sz w:val="20"/>
    </w:rPr>
  </w:style>
  <w:style w:type="character" w:customStyle="1" w:styleId="WWCharLFO1LVL3">
    <w:name w:val="WW_CharLFO1LVL3"/>
    <w:qFormat/>
    <w:rPr>
      <w:rFonts w:ascii="Wingdings" w:hAnsi="Wingdings"/>
      <w:sz w:val="20"/>
    </w:rPr>
  </w:style>
  <w:style w:type="character" w:customStyle="1" w:styleId="WWCharLFO1LVL4">
    <w:name w:val="WW_CharLFO1LVL4"/>
    <w:qFormat/>
    <w:rPr>
      <w:rFonts w:ascii="Wingdings" w:hAnsi="Wingdings"/>
      <w:sz w:val="20"/>
    </w:rPr>
  </w:style>
  <w:style w:type="character" w:customStyle="1" w:styleId="WWCharLFO1LVL5">
    <w:name w:val="WW_CharLFO1LVL5"/>
    <w:qFormat/>
    <w:rPr>
      <w:rFonts w:ascii="Wingdings" w:hAnsi="Wingdings"/>
      <w:sz w:val="20"/>
    </w:rPr>
  </w:style>
  <w:style w:type="character" w:customStyle="1" w:styleId="WWCharLFO1LVL6">
    <w:name w:val="WW_CharLFO1LVL6"/>
    <w:qFormat/>
    <w:rPr>
      <w:rFonts w:ascii="Wingdings" w:hAnsi="Wingdings"/>
      <w:sz w:val="20"/>
    </w:rPr>
  </w:style>
  <w:style w:type="character" w:customStyle="1" w:styleId="WWCharLFO1LVL7">
    <w:name w:val="WW_CharLFO1LVL7"/>
    <w:qFormat/>
    <w:rPr>
      <w:rFonts w:ascii="Wingdings" w:hAnsi="Wingdings"/>
      <w:sz w:val="20"/>
    </w:rPr>
  </w:style>
  <w:style w:type="character" w:customStyle="1" w:styleId="WWCharLFO1LVL8">
    <w:name w:val="WW_CharLFO1LVL8"/>
    <w:qFormat/>
    <w:rPr>
      <w:rFonts w:ascii="Wingdings" w:hAnsi="Wingdings"/>
      <w:sz w:val="20"/>
    </w:rPr>
  </w:style>
  <w:style w:type="character" w:customStyle="1" w:styleId="WWCharLFO1LVL9">
    <w:name w:val="WW_CharLFO1LVL9"/>
    <w:qFormat/>
    <w:rPr>
      <w:rFonts w:ascii="Wingdings" w:hAnsi="Wingdings"/>
      <w:sz w:val="20"/>
    </w:rPr>
  </w:style>
  <w:style w:type="character" w:customStyle="1" w:styleId="WWCharLFO2LVL1">
    <w:name w:val="WW_CharLFO2LVL1"/>
    <w:qFormat/>
    <w:rPr>
      <w:rFonts w:ascii="Symbol" w:hAnsi="Symbol"/>
      <w:sz w:val="20"/>
    </w:rPr>
  </w:style>
  <w:style w:type="character" w:customStyle="1" w:styleId="WWCharLFO2LVL2">
    <w:name w:val="WW_CharLFO2LVL2"/>
    <w:qFormat/>
    <w:rPr>
      <w:rFonts w:ascii="Courier New" w:hAnsi="Courier New"/>
      <w:sz w:val="20"/>
    </w:rPr>
  </w:style>
  <w:style w:type="character" w:customStyle="1" w:styleId="WWCharLFO2LVL3">
    <w:name w:val="WW_CharLFO2LVL3"/>
    <w:qFormat/>
    <w:rPr>
      <w:rFonts w:ascii="Wingdings" w:hAnsi="Wingdings"/>
      <w:sz w:val="20"/>
    </w:rPr>
  </w:style>
  <w:style w:type="character" w:customStyle="1" w:styleId="WWCharLFO2LVL4">
    <w:name w:val="WW_CharLFO2LVL4"/>
    <w:qFormat/>
    <w:rPr>
      <w:rFonts w:ascii="Wingdings" w:hAnsi="Wingdings"/>
      <w:sz w:val="20"/>
    </w:rPr>
  </w:style>
  <w:style w:type="character" w:customStyle="1" w:styleId="WWCharLFO2LVL5">
    <w:name w:val="WW_CharLFO2LVL5"/>
    <w:qFormat/>
    <w:rPr>
      <w:rFonts w:ascii="Wingdings" w:hAnsi="Wingdings"/>
      <w:sz w:val="20"/>
    </w:rPr>
  </w:style>
  <w:style w:type="character" w:customStyle="1" w:styleId="WWCharLFO2LVL6">
    <w:name w:val="WW_CharLFO2LVL6"/>
    <w:qFormat/>
    <w:rPr>
      <w:rFonts w:ascii="Wingdings" w:hAnsi="Wingdings"/>
      <w:sz w:val="20"/>
    </w:rPr>
  </w:style>
  <w:style w:type="character" w:customStyle="1" w:styleId="WWCharLFO2LVL7">
    <w:name w:val="WW_CharLFO2LVL7"/>
    <w:qFormat/>
    <w:rPr>
      <w:rFonts w:ascii="Wingdings" w:hAnsi="Wingdings"/>
      <w:sz w:val="20"/>
    </w:rPr>
  </w:style>
  <w:style w:type="character" w:customStyle="1" w:styleId="WWCharLFO2LVL8">
    <w:name w:val="WW_CharLFO2LVL8"/>
    <w:qFormat/>
    <w:rPr>
      <w:rFonts w:ascii="Wingdings" w:hAnsi="Wingdings"/>
      <w:sz w:val="20"/>
    </w:rPr>
  </w:style>
  <w:style w:type="character" w:customStyle="1" w:styleId="WWCharLFO2LVL9">
    <w:name w:val="WW_CharLFO2LVL9"/>
    <w:qFormat/>
    <w:rPr>
      <w:rFonts w:ascii="Wingdings" w:hAnsi="Wingdings"/>
      <w:sz w:val="20"/>
    </w:rPr>
  </w:style>
  <w:style w:type="character" w:customStyle="1" w:styleId="WWCharLFO3LVL1">
    <w:name w:val="WW_CharLFO3LVL1"/>
    <w:qFormat/>
    <w:rPr>
      <w:rFonts w:ascii="Symbol" w:hAnsi="Symbol"/>
      <w:sz w:val="20"/>
    </w:rPr>
  </w:style>
  <w:style w:type="character" w:customStyle="1" w:styleId="WWCharLFO3LVL2">
    <w:name w:val="WW_CharLFO3LVL2"/>
    <w:qFormat/>
    <w:rPr>
      <w:rFonts w:ascii="Courier New" w:hAnsi="Courier New"/>
      <w:sz w:val="20"/>
    </w:rPr>
  </w:style>
  <w:style w:type="character" w:customStyle="1" w:styleId="WWCharLFO3LVL3">
    <w:name w:val="WW_CharLFO3LVL3"/>
    <w:qFormat/>
    <w:rPr>
      <w:rFonts w:ascii="Wingdings" w:hAnsi="Wingdings"/>
      <w:sz w:val="20"/>
    </w:rPr>
  </w:style>
  <w:style w:type="character" w:customStyle="1" w:styleId="WWCharLFO3LVL4">
    <w:name w:val="WW_CharLFO3LVL4"/>
    <w:qFormat/>
    <w:rPr>
      <w:rFonts w:ascii="Wingdings" w:hAnsi="Wingdings"/>
      <w:sz w:val="20"/>
    </w:rPr>
  </w:style>
  <w:style w:type="character" w:customStyle="1" w:styleId="WWCharLFO3LVL5">
    <w:name w:val="WW_CharLFO3LVL5"/>
    <w:qFormat/>
    <w:rPr>
      <w:rFonts w:ascii="Wingdings" w:hAnsi="Wingdings"/>
      <w:sz w:val="20"/>
    </w:rPr>
  </w:style>
  <w:style w:type="character" w:customStyle="1" w:styleId="WWCharLFO3LVL6">
    <w:name w:val="WW_CharLFO3LVL6"/>
    <w:qFormat/>
    <w:rPr>
      <w:rFonts w:ascii="Wingdings" w:hAnsi="Wingdings"/>
      <w:sz w:val="20"/>
    </w:rPr>
  </w:style>
  <w:style w:type="character" w:customStyle="1" w:styleId="WWCharLFO3LVL7">
    <w:name w:val="WW_CharLFO3LVL7"/>
    <w:qFormat/>
    <w:rPr>
      <w:rFonts w:ascii="Wingdings" w:hAnsi="Wingdings"/>
      <w:sz w:val="20"/>
    </w:rPr>
  </w:style>
  <w:style w:type="character" w:customStyle="1" w:styleId="WWCharLFO3LVL8">
    <w:name w:val="WW_CharLFO3LVL8"/>
    <w:qFormat/>
    <w:rPr>
      <w:rFonts w:ascii="Wingdings" w:hAnsi="Wingdings"/>
      <w:sz w:val="20"/>
    </w:rPr>
  </w:style>
  <w:style w:type="character" w:customStyle="1" w:styleId="WWCharLFO3LVL9">
    <w:name w:val="WW_CharLFO3LVL9"/>
    <w:qFormat/>
    <w:rPr>
      <w:rFonts w:ascii="Wingdings" w:hAnsi="Wingdings"/>
      <w:sz w:val="20"/>
    </w:rPr>
  </w:style>
  <w:style w:type="character" w:customStyle="1" w:styleId="WWCharLFO4LVL1">
    <w:name w:val="WW_CharLFO4LVL1"/>
    <w:qFormat/>
    <w:rPr>
      <w:rFonts w:ascii="Symbol" w:hAnsi="Symbol"/>
      <w:sz w:val="20"/>
    </w:rPr>
  </w:style>
  <w:style w:type="character" w:customStyle="1" w:styleId="WWCharLFO4LVL2">
    <w:name w:val="WW_CharLFO4LVL2"/>
    <w:qFormat/>
    <w:rPr>
      <w:rFonts w:ascii="Courier New" w:hAnsi="Courier New"/>
      <w:sz w:val="20"/>
    </w:rPr>
  </w:style>
  <w:style w:type="character" w:customStyle="1" w:styleId="WWCharLFO4LVL3">
    <w:name w:val="WW_CharLFO4LVL3"/>
    <w:qFormat/>
    <w:rPr>
      <w:rFonts w:ascii="Wingdings" w:hAnsi="Wingdings"/>
      <w:sz w:val="20"/>
    </w:rPr>
  </w:style>
  <w:style w:type="character" w:customStyle="1" w:styleId="WWCharLFO4LVL4">
    <w:name w:val="WW_CharLFO4LVL4"/>
    <w:qFormat/>
    <w:rPr>
      <w:rFonts w:ascii="Wingdings" w:hAnsi="Wingdings"/>
      <w:sz w:val="20"/>
    </w:rPr>
  </w:style>
  <w:style w:type="character" w:customStyle="1" w:styleId="WWCharLFO4LVL5">
    <w:name w:val="WW_CharLFO4LVL5"/>
    <w:qFormat/>
    <w:rPr>
      <w:rFonts w:ascii="Wingdings" w:hAnsi="Wingdings"/>
      <w:sz w:val="20"/>
    </w:rPr>
  </w:style>
  <w:style w:type="character" w:customStyle="1" w:styleId="WWCharLFO4LVL6">
    <w:name w:val="WW_CharLFO4LVL6"/>
    <w:qFormat/>
    <w:rPr>
      <w:rFonts w:ascii="Wingdings" w:hAnsi="Wingdings"/>
      <w:sz w:val="20"/>
    </w:rPr>
  </w:style>
  <w:style w:type="character" w:customStyle="1" w:styleId="WWCharLFO4LVL7">
    <w:name w:val="WW_CharLFO4LVL7"/>
    <w:qFormat/>
    <w:rPr>
      <w:rFonts w:ascii="Wingdings" w:hAnsi="Wingdings"/>
      <w:sz w:val="20"/>
    </w:rPr>
  </w:style>
  <w:style w:type="character" w:customStyle="1" w:styleId="WWCharLFO4LVL8">
    <w:name w:val="WW_CharLFO4LVL8"/>
    <w:qFormat/>
    <w:rPr>
      <w:rFonts w:ascii="Wingdings" w:hAnsi="Wingdings"/>
      <w:sz w:val="20"/>
    </w:rPr>
  </w:style>
  <w:style w:type="character" w:customStyle="1" w:styleId="WWCharLFO4LVL9">
    <w:name w:val="WW_CharLFO4LVL9"/>
    <w:qFormat/>
    <w:rPr>
      <w:rFonts w:ascii="Wingdings" w:hAnsi="Wingdings"/>
      <w:sz w:val="20"/>
    </w:rPr>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rPr>
  </w:style>
  <w:style w:type="paragraph" w:styleId="Normlnweb">
    <w:name w:val="Normal (Web)"/>
    <w:basedOn w:val="Normln"/>
    <w:qFormat/>
    <w:pPr>
      <w:spacing w:before="100" w:after="100" w:line="240" w:lineRule="auto"/>
    </w:pPr>
    <w:rPr>
      <w:rFonts w:ascii="Times New Roman" w:eastAsia="Times New Roman" w:hAnsi="Times New Roman"/>
      <w:kern w:val="0"/>
      <w:sz w:val="24"/>
      <w:szCs w:val="24"/>
      <w:lang w:eastAsia="cs-CZ"/>
    </w:rPr>
  </w:style>
  <w:style w:type="paragraph" w:styleId="Odstavecseseznamem">
    <w:name w:val="List Paragraph"/>
    <w:basedOn w:val="Norml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381;&#193;DOST%20o%20povolen&#237;%20k&#225;cen&#237;%20d&#345;evin.do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585</Words>
  <Characters>3454</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Přáslavice</dc:creator>
  <dc:description/>
  <cp:lastModifiedBy>Monika Kuželová</cp:lastModifiedBy>
  <cp:revision>17</cp:revision>
  <cp:lastPrinted>2024-01-10T09:35:00Z</cp:lastPrinted>
  <dcterms:created xsi:type="dcterms:W3CDTF">2024-01-08T14:57:00Z</dcterms:created>
  <dcterms:modified xsi:type="dcterms:W3CDTF">2024-03-13T08:05:00Z</dcterms:modified>
  <dc:language>cs-CZ</dc:language>
</cp:coreProperties>
</file>